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3"/>
        <w:shd w:val="clear" w:color="auto" w:fill="FFFFFF"/>
        <w:spacing w:before="0" w:beforeAutospacing="0" w:after="0" w:afterAutospacing="0"/>
        <w:ind w:firstLine="601"/>
        <w:jc w:val="center"/>
        <w:rPr>
          <w:b/>
          <w:color w:val="333333"/>
          <w:sz w:val="30"/>
          <w:szCs w:val="30"/>
        </w:rPr>
      </w:pPr>
      <w:r>
        <w:rPr>
          <w:b/>
          <w:color w:val="333333"/>
          <w:sz w:val="30"/>
          <w:szCs w:val="30"/>
        </w:rPr>
        <w:t>Гуманитарный проект</w:t>
      </w:r>
    </w:p>
    <w:p>
      <w:pPr>
        <w:pStyle w:val="a3"/>
        <w:shd w:val="clear" w:color="auto" w:fill="FFFFFF"/>
        <w:spacing w:before="0" w:beforeAutospacing="0" w:after="0" w:afterAutospacing="0"/>
        <w:ind w:firstLine="601"/>
        <w:jc w:val="center"/>
        <w:rPr>
          <w:b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учреждения культуры </w:t>
      </w:r>
      <w:r>
        <w:rPr>
          <w:b/>
          <w:sz w:val="30"/>
          <w:szCs w:val="30"/>
        </w:rPr>
        <w:t xml:space="preserve">«Могилевский областной художественный музей имени </w:t>
      </w:r>
      <w:proofErr w:type="spellStart"/>
      <w:r>
        <w:rPr>
          <w:b/>
          <w:sz w:val="30"/>
          <w:szCs w:val="30"/>
        </w:rPr>
        <w:t>П.В.Масленикова</w:t>
      </w:r>
      <w:proofErr w:type="spellEnd"/>
      <w:r>
        <w:rPr>
          <w:b/>
          <w:sz w:val="30"/>
          <w:szCs w:val="30"/>
        </w:rPr>
        <w:t>»</w:t>
      </w:r>
    </w:p>
    <w:p>
      <w:pPr>
        <w:pStyle w:val="a3"/>
        <w:shd w:val="clear" w:color="auto" w:fill="FFFFFF"/>
        <w:spacing w:before="0" w:beforeAutospacing="0" w:after="0" w:afterAutospacing="0"/>
        <w:ind w:firstLine="601"/>
        <w:jc w:val="center"/>
        <w:rPr>
          <w:b/>
          <w:sz w:val="30"/>
          <w:szCs w:val="30"/>
        </w:rPr>
      </w:pPr>
    </w:p>
    <w:p>
      <w:pPr>
        <w:pStyle w:val="a3"/>
        <w:shd w:val="clear" w:color="auto" w:fill="FFFFFF"/>
        <w:spacing w:before="0" w:beforeAutospacing="0" w:after="0" w:afterAutospacing="0"/>
        <w:ind w:firstLine="601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«МУЗЕЙ БЕЗ ГРАНИЦ»</w:t>
      </w:r>
    </w:p>
    <w:p>
      <w:pPr>
        <w:pStyle w:val="a3"/>
        <w:shd w:val="clear" w:color="auto" w:fill="FFFFFF"/>
        <w:spacing w:before="0" w:beforeAutospacing="0" w:after="0" w:afterAutospacing="0"/>
        <w:ind w:firstLine="601"/>
        <w:jc w:val="center"/>
        <w:rPr>
          <w:b/>
          <w:color w:val="333333"/>
          <w:sz w:val="30"/>
          <w:szCs w:val="30"/>
        </w:rPr>
      </w:pPr>
    </w:p>
    <w:p>
      <w:pPr>
        <w:pStyle w:val="a3"/>
        <w:shd w:val="clear" w:color="auto" w:fill="FFFFFF"/>
        <w:spacing w:before="0" w:beforeAutospacing="0" w:after="0" w:afterAutospacing="0"/>
        <w:ind w:firstLine="601"/>
        <w:jc w:val="center"/>
        <w:rPr>
          <w:color w:val="333333"/>
          <w:sz w:val="30"/>
          <w:szCs w:val="30"/>
        </w:rPr>
      </w:pPr>
      <w:r>
        <w:rPr>
          <w:noProof/>
          <w:color w:val="333333"/>
          <w:sz w:val="30"/>
          <w:szCs w:val="30"/>
        </w:rPr>
        <w:drawing>
          <wp:inline distT="0" distB="0" distL="0" distR="0">
            <wp:extent cx="5572850" cy="4055165"/>
            <wp:effectExtent l="0" t="0" r="889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250" cy="4083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a3"/>
        <w:shd w:val="clear" w:color="auto" w:fill="FFFFFF"/>
        <w:spacing w:before="0" w:beforeAutospacing="0" w:after="0" w:afterAutospacing="0"/>
        <w:ind w:firstLine="601"/>
        <w:jc w:val="center"/>
        <w:rPr>
          <w:color w:val="333333"/>
          <w:sz w:val="30"/>
          <w:szCs w:val="30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1"/>
      </w:tblGrid>
      <w:tr>
        <w:tc>
          <w:tcPr>
            <w:tcW w:w="9581" w:type="dxa"/>
          </w:tcPr>
          <w:p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316" w:hanging="284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>Наименование проекта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«Музей без границ» </w:t>
            </w:r>
          </w:p>
          <w:p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>
        <w:tc>
          <w:tcPr>
            <w:tcW w:w="9581" w:type="dxa"/>
          </w:tcPr>
          <w:p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316" w:hanging="284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Наименование организации: </w:t>
            </w:r>
            <w:r>
              <w:rPr>
                <w:bCs/>
                <w:sz w:val="30"/>
                <w:szCs w:val="30"/>
              </w:rPr>
              <w:t>у</w:t>
            </w:r>
            <w:r>
              <w:rPr>
                <w:color w:val="000000"/>
                <w:sz w:val="30"/>
                <w:szCs w:val="30"/>
              </w:rPr>
              <w:t xml:space="preserve">чреждение культуры </w:t>
            </w:r>
            <w:r>
              <w:rPr>
                <w:sz w:val="30"/>
                <w:szCs w:val="30"/>
              </w:rPr>
              <w:t xml:space="preserve">«Могилевский областной художественный музей имени </w:t>
            </w:r>
            <w:proofErr w:type="spellStart"/>
            <w:r>
              <w:rPr>
                <w:sz w:val="30"/>
                <w:szCs w:val="30"/>
              </w:rPr>
              <w:t>П.В.Масленикова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</w:p>
          <w:p>
            <w:pPr>
              <w:pStyle w:val="a3"/>
              <w:shd w:val="clear" w:color="auto" w:fill="FFFFFF"/>
              <w:spacing w:before="0" w:beforeAutospacing="0" w:after="0" w:afterAutospacing="0"/>
              <w:ind w:left="720"/>
              <w:rPr>
                <w:sz w:val="16"/>
                <w:szCs w:val="16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rPr>
                <w:rStyle w:val="a5"/>
                <w:rFonts w:ascii="Times New Roman" w:hAnsi="Times New Roman"/>
                <w:b w:val="0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Style w:val="a5"/>
                <w:rFonts w:ascii="Times New Roman" w:hAnsi="Times New Roman"/>
                <w:color w:val="000000"/>
                <w:sz w:val="30"/>
                <w:szCs w:val="30"/>
                <w:shd w:val="clear" w:color="auto" w:fill="FFFFFF"/>
              </w:rPr>
              <w:t xml:space="preserve">3. Физический и юридический адрес организации, телефон, факс,    </w:t>
            </w:r>
            <w:proofErr w:type="gramStart"/>
            <w:r>
              <w:rPr>
                <w:rStyle w:val="a5"/>
                <w:rFonts w:ascii="Times New Roman" w:hAnsi="Times New Roman"/>
                <w:color w:val="000000"/>
                <w:sz w:val="30"/>
                <w:szCs w:val="30"/>
                <w:shd w:val="clear" w:color="auto" w:fill="FFFFFF"/>
              </w:rPr>
              <w:t>е</w:t>
            </w:r>
            <w:proofErr w:type="gramEnd"/>
            <w:r>
              <w:rPr>
                <w:rStyle w:val="a5"/>
                <w:rFonts w:ascii="Times New Roman" w:hAnsi="Times New Roman"/>
                <w:color w:val="000000"/>
                <w:sz w:val="30"/>
                <w:szCs w:val="30"/>
                <w:shd w:val="clear" w:color="auto" w:fill="FFFFFF"/>
              </w:rPr>
              <w:t>-</w:t>
            </w:r>
            <w:proofErr w:type="spellStart"/>
            <w:r>
              <w:rPr>
                <w:rStyle w:val="a5"/>
                <w:rFonts w:ascii="Times New Roman" w:hAnsi="Times New Roman"/>
                <w:color w:val="000000"/>
                <w:sz w:val="30"/>
                <w:szCs w:val="30"/>
                <w:shd w:val="clear" w:color="auto" w:fill="FFFFFF"/>
              </w:rPr>
              <w:t>mail</w:t>
            </w:r>
            <w:proofErr w:type="spellEnd"/>
            <w:r>
              <w:rPr>
                <w:rStyle w:val="a5"/>
                <w:rFonts w:ascii="Times New Roman" w:hAnsi="Times New Roman"/>
                <w:color w:val="000000"/>
                <w:sz w:val="30"/>
                <w:szCs w:val="30"/>
                <w:shd w:val="clear" w:color="auto" w:fill="FFFFFF"/>
              </w:rPr>
              <w:t xml:space="preserve">: </w:t>
            </w:r>
            <w:r>
              <w:rPr>
                <w:rStyle w:val="a5"/>
                <w:rFonts w:ascii="Times New Roman" w:hAnsi="Times New Roman"/>
                <w:b w:val="0"/>
                <w:color w:val="000000"/>
                <w:sz w:val="30"/>
                <w:szCs w:val="30"/>
                <w:shd w:val="clear" w:color="auto" w:fill="FFFFFF"/>
              </w:rPr>
              <w:t>Республика Беларусь, 212030 г. Могилев, ул. Миронова 33,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  <w:lang w:val="en-US"/>
              </w:rPr>
            </w:pPr>
            <w:r>
              <w:rPr>
                <w:rStyle w:val="a5"/>
                <w:rFonts w:ascii="Times New Roman" w:hAnsi="Times New Roman"/>
                <w:b w:val="0"/>
                <w:color w:val="000000"/>
                <w:sz w:val="30"/>
                <w:szCs w:val="30"/>
                <w:shd w:val="clear" w:color="auto" w:fill="FFFFFF"/>
              </w:rPr>
              <w:t>т/ф.+375 222 766121, Е-</w:t>
            </w:r>
            <w:r>
              <w:rPr>
                <w:rStyle w:val="a5"/>
                <w:rFonts w:ascii="Times New Roman" w:hAnsi="Times New Roman"/>
                <w:b w:val="0"/>
                <w:color w:val="000000"/>
                <w:sz w:val="30"/>
                <w:szCs w:val="30"/>
                <w:shd w:val="clear" w:color="auto" w:fill="FFFFFF"/>
                <w:lang w:val="en-US"/>
              </w:rPr>
              <w:t>mail</w:t>
            </w:r>
            <w:r>
              <w:rPr>
                <w:rStyle w:val="a5"/>
                <w:rFonts w:ascii="Times New Roman" w:hAnsi="Times New Roman"/>
                <w:b w:val="0"/>
                <w:color w:val="000000"/>
                <w:sz w:val="30"/>
                <w:szCs w:val="30"/>
                <w:shd w:val="clear" w:color="auto" w:fill="FFFFFF"/>
              </w:rPr>
              <w:t>:</w:t>
            </w:r>
            <w:r>
              <w:rPr>
                <w:rStyle w:val="a5"/>
                <w:rFonts w:ascii="Times New Roman" w:hAnsi="Times New Roman"/>
                <w:b w:val="0"/>
                <w:color w:val="000000"/>
                <w:sz w:val="30"/>
                <w:szCs w:val="30"/>
                <w:shd w:val="clear" w:color="auto" w:fill="FFFFFF"/>
                <w:lang w:val="en-US"/>
              </w:rPr>
              <w:t>info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>@</w:t>
            </w: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  <w:lang w:val="en-US"/>
              </w:rPr>
              <w:t>maslenikov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  <w:r>
              <w:rPr>
                <w:rFonts w:ascii="Times New Roman" w:hAnsi="Times New Roman"/>
                <w:color w:val="000000"/>
                <w:sz w:val="30"/>
                <w:szCs w:val="30"/>
                <w:lang w:val="en-US"/>
              </w:rPr>
              <w:t>by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ind w:firstLine="166"/>
              <w:jc w:val="both"/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 xml:space="preserve">4. Информация об организации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Учреждение культуры «Могилевский областной художественный музей имени П.В. Масленикова» расположено в центре города Могилева. Здание музея является памятником архитектуры начала ХХ века. Он был спроектирован архитектором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А.В.Друкером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для поземельно-крестьянского банка.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В 1917 году в здании разместилось издательство газеты «Революционный штаб».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 xml:space="preserve">С мая 1919 года здесь располагается Могилевский государственный исторический музей. Его достопримечательностью была бронированная комната-сейф, в которой хранились музейные реликвии. Среди ценностей были Крест Евфросинии Полоцкой 1161 года, выполненный Лазарем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Богшей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, коллекция белорусских рукописных книг и писем (175 единиц), оружие X–XIV 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ве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ков (280 единиц), монеты (1800 единиц), иконы XVII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–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XIX веков, булава Сигизмунда III, картины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И.Айвазовского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И.Репина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В.Серова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и других известных художников,  митра могилевского архиепископа Георгия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Конисского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, плащаница 1566 года близкой родственницы жены Ивана Грозного Анастасии Романовны 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–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Анны Федоровны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Палецкой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, первая печатная Минея, царские грамоты XVI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–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XVIII веков (26 единиц), рукописные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ирмы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1697 года с рисунками и многое другое.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Их судьба осталась неизвестной, так как началась Великая Отечественная война, и экспонаты были вывезены за пределы Могилева.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В 1944 году, после освобождения города, в здании разместились обком и горком партии, позже редакция газеты «Могилевская правда».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19 ноября 1990 года был открыт Могилевский областной художественный музей. 28 июля 1994 г. в музее начала работу первая в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 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Республике Беларусь авторская галерея Павла Васильевича Масленикова – Народного художника Беларуси.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22 января 1996 г. Указом Президента Республики Беларусь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А.Г.Лукашенко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Могилевскому областному художественному музею присвоено имя П.В. Масленикова.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С 1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января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2021 г. Могилевский областной художественный музей имени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П.В.Масленникова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имеет филиал «Художественный музей 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                        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им.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В.К.Бялыницкого-Бирули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г.Белыничи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».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сегодняшний день в Могилевском областном художественном музее имени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П.В.Масленикова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размещаются постоянные экспозиции: «Картинная галерея народного художника Беларуси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П.В.Масленикова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», «Сохраненное наследие», «Тайна креста».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Хотелось бы отметить самый интересный экспонат в собрании «Печатные издания» — книгу «Новое небо» 1699 года, которая была издана в могилевской братской типографии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М.Ващанки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Оригинальным и интересным памятником монументальной живописи середины XVIII века являются настенные росписи лестницы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Белыничского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монастыря кармелитов, в поселке городского типа Белыничи, над которым работал монах Иосиф с двумя помощниками Шульцем 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Прозаром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В 1978 году из-за чрезвычайной ситуации в здании остатки монастыря должны были быть взорваны. Фрески были сняты и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 xml:space="preserve">отправлены в Минск на консервацию.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Сегодня это уникальный и единственный памятник на постсоветском пространстве. На сегодняшний день фрески «Преображение» и «Несение креста» представлены в экспозиции «Сохраненное наследие» и в филиале музея.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 1996 года в Могилевской области началась история пленэрного движения. На базе Областного художественного музея имени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П.В.Масленикова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состоялся I Международный пленэр по живописи «Образ Родины в изобразительном искусстве», посвященный памяти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В.К.Бялыницкого-Бирули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. С тех пор пленэры стали традиционными и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 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посвящены известным художникам Могилевской земли, искусствоведам, знаменательным событиям. На протяжении многих лет в пленэрах принимали участие художники из Беларуси, Литвы, Израиля, Индии, Китая, Сербии, Польши, России, Украины и других стран.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val="be-BY"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В рамках пленэра проводятся мастер-классы, творческие встречи, вечера национальных культур. Для гостей предусмотрена обширная культурная программа, знакомство с музеями города и его достопримечательностями. По итогам пленэра в музее проходит итоговая выставка работ участников. Пленэр – это незабываемые встречи, активная творческая работа на свежем воздухе, сохранение и развитие реалистических традиций, обмен опытом, «секреты» мастерства, широкий круг контактов, открытие чего-то нового.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val="be-BY"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Могилевский художественный музей имени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П.В.Масленикова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находится в расцвете сил, у него много масштабных художественных проектов, которые успешно реализуются.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Выставочные проекты стали яркими событиями в жизни музея в 2020 году: «Меняя реальность» Никаса Сафронова, заслуженного художника России, академика Российской академии художеств, профессора Ульяновского государственного университета; выставочный проект «Это надо не мертвым! Это надо живым... » из фондовой коллекции музея, посвященной 75-летию Победы в Великой Отечественной войне.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val="be-BY"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Впервые совместно с Курской государственной картинной галереей имени А.А. Дейнеки организован новый международный виртуальный выставочный проект «Была война» в честь 75-летия победы в Великой Отечественной войне (в виртуальном пространстве его посмотрели 55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 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075 человек). Дальнейшее сотрудничество планируется в 2021 году.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val="be-BY"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 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6 ноября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2020 года организована работа художественной студии по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 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изготовлению куклы «Забава».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Были организованы следующие мероприятия: конкурс детских работ «Музей будущего»; «Мой Любимый Город М», посвященный Дню города; «Экология и искусство» и другие.  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 xml:space="preserve">Разработаны и представлены мультимедийные продукты: образовательные площадки,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видеоэкскурсии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(«Сохраненное наследие», фрагмент фрески «Преображение Господне», «Неизвестный Маслеников» — эскиз декораций к опере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А.Понкиели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«Джоконда», сюжет иконы «Чудо Георгия о Змее»; «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П.В.Маслеников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и война», сюжет иконы «Архангел Гавриил» и др.).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Введены новые рубрики для социальных сетей: «Цитата дня» (18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 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публикаций), «Образовательная платформа» (27 публикаций), #Art30. Подготовлено и размещено в социальных сетях 6 виртуальных выставок, проведено 3 онлайн-викторины. Общее количество музейных экспонатов основного фонда 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–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6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242 единицы, научный вспомогательный фонд 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>–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1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713 единиц хранения.</w:t>
            </w:r>
          </w:p>
          <w:p>
            <w:pPr>
              <w:spacing w:after="0" w:line="240" w:lineRule="auto"/>
              <w:ind w:firstLine="449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lastRenderedPageBreak/>
              <w:t xml:space="preserve">5. Руководитель организации: 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Боброва Елена Владимировна, директор,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тел.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+375 222 782124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>6. Менеджер проекта: </w:t>
            </w:r>
            <w:r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>Косарев Виталий Александрович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, ведущий юрисконсульт, тел. +375 222 711757,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е-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mail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:</w:t>
            </w:r>
            <w:r>
              <w:rPr>
                <w:rFonts w:ascii="Times New Roman" w:hAnsi="Times New Roman"/>
                <w:sz w:val="30"/>
                <w:szCs w:val="30"/>
                <w:lang w:val="be-BY" w:eastAsia="ru-RU"/>
              </w:rPr>
              <w:t xml:space="preserve"> </w:t>
            </w:r>
            <w:hyperlink r:id="rId9" w:history="1">
              <w:r>
                <w:rPr>
                  <w:rStyle w:val="ae"/>
                  <w:rFonts w:ascii="Times New Roman" w:hAnsi="Times New Roman"/>
                  <w:sz w:val="30"/>
                  <w:szCs w:val="30"/>
                  <w:lang w:val="en-US" w:eastAsia="ru-RU"/>
                </w:rPr>
                <w:t>info</w:t>
              </w:r>
              <w:r>
                <w:rPr>
                  <w:rStyle w:val="ae"/>
                  <w:rFonts w:ascii="Times New Roman" w:hAnsi="Times New Roman"/>
                  <w:sz w:val="30"/>
                  <w:szCs w:val="30"/>
                </w:rPr>
                <w:t>@</w:t>
              </w:r>
              <w:r>
                <w:rPr>
                  <w:rStyle w:val="ae"/>
                  <w:rFonts w:ascii="Times New Roman" w:hAnsi="Times New Roman"/>
                  <w:sz w:val="30"/>
                  <w:szCs w:val="30"/>
                  <w:lang w:val="en-US"/>
                </w:rPr>
                <w:t>maslenikov</w:t>
              </w:r>
              <w:r>
                <w:rPr>
                  <w:rStyle w:val="ae"/>
                  <w:rFonts w:ascii="Times New Roman" w:hAnsi="Times New Roman"/>
                  <w:sz w:val="30"/>
                  <w:szCs w:val="30"/>
                </w:rPr>
                <w:t>.</w:t>
              </w:r>
              <w:r>
                <w:rPr>
                  <w:rStyle w:val="ae"/>
                  <w:rFonts w:ascii="Times New Roman" w:hAnsi="Times New Roman"/>
                  <w:sz w:val="30"/>
                  <w:szCs w:val="30"/>
                  <w:lang w:val="en-US"/>
                </w:rPr>
                <w:t>by</w:t>
              </w:r>
            </w:hyperlink>
          </w:p>
          <w:p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>7. Прежняя помощь, полученная от других иностранных источников:</w:t>
            </w:r>
            <w:r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 xml:space="preserve"> иностранная безвозмездная помощь – живопись для комплектования музейных фондов и экспозиций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>8. Требуемая сумма финансирования (в долларах США): </w:t>
            </w:r>
            <w:r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>4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0 000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 xml:space="preserve">9. </w:t>
            </w:r>
            <w:proofErr w:type="spellStart"/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>: 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не предполагается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>10. Срок реализации проекта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: один год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11. Цели проекта:</w:t>
            </w:r>
            <w:r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br/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>- обеспечение благоприятной среды в музее для слабовидящих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людей;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- обучение детей взаимодействию с инвалидами;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- образование и культурное воспитание детей и людей с ограниченными возможностями;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- приобщение людей с ограниченными возможностями к восприятию музейной культуры путем внедрения интерактивных технологий в музейное пространство;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- воспитание религиозной и культурной толерантности путем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внедрения интерактивных экскурсий и программ.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t>12. Задачи, планируемые к выполнению в рамках реализации проекта:</w:t>
            </w:r>
            <w:r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br/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- оснастить экспозиционные залы музея современным оборудованием (сенсорными экранами с возможностью аудио- и </w:t>
            </w:r>
            <w:proofErr w:type="spellStart"/>
            <w:r>
              <w:rPr>
                <w:rFonts w:ascii="Times New Roman" w:hAnsi="Times New Roman"/>
                <w:color w:val="000000"/>
                <w:sz w:val="30"/>
                <w:szCs w:val="30"/>
              </w:rPr>
              <w:t>видеосопровождения</w:t>
            </w:r>
            <w:proofErr w:type="spellEnd"/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lastRenderedPageBreak/>
              <w:t>посетителя на нескольких языках: белорусский, русский, английский, китайский). Приобрести видеопроектор и акустическую систему для звукового сопровождения мероприятий музея, которое позволит внедрить интерактивные методы, повышающие интерес к музейной экспозиции, обеспечивая тем самым устойчивый дополнительный приток посетителей и формирование нового, интерактивного восприятия музея;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- оснастить экспонаты экспозиционных залов музея шрифтом Брайля, что сделает музей более доступным для слабовидящих людей;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- добавить в экспозицию музея интерактивные макеты некоторых предметов для лучшего восприятия информации слабовидящими людьми, а также для проведения интерактивных занятий с детьми;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>- провести видеосъемки и аудиозапись экскурсии по всей экспозиции музея для выездных мероприятий в пансионаты и дома-интернаты для людей с ограниченными возможностями.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>
        <w:tc>
          <w:tcPr>
            <w:tcW w:w="9581" w:type="dxa"/>
          </w:tcPr>
          <w:p>
            <w:pPr>
              <w:tabs>
                <w:tab w:val="left" w:pos="3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lastRenderedPageBreak/>
              <w:t>13. Краткое описание мероприятий в рамках проекта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 xml:space="preserve">    Создание виртуальной экскурсии по экспозиции музея.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 xml:space="preserve">    Разработка инклюзивных культурно-образовательных программ с разработкой методологии, признающей всех детей  индивидуумами с различными потребностями в обучении.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 xml:space="preserve">    Проведение смешанных интерактивных экскурсий для школьников и людей с ограниченными возможностями, что повлияет на обучение взаимодействия детей с инвалидами и приобщение людей с ограниченными возможностями к общей музейной культуре.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 xml:space="preserve">    Организация интерактивных экскурсий для смешанных групп из представителей разных религиозных конфессий для воспитания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br/>
              <w:t xml:space="preserve">толерантности и личному взаимодействию представителей разных традиций друг с другом. </w:t>
            </w:r>
          </w:p>
          <w:p>
            <w:pPr>
              <w:spacing w:after="0" w:line="240" w:lineRule="auto"/>
              <w:ind w:firstLine="314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В рамках реализации проекта оснастятся экспозиционные залы музея современным оборудованием, которое позволит внедрить интерактивные методы обучения. </w:t>
            </w:r>
          </w:p>
          <w:p>
            <w:pPr>
              <w:spacing w:after="0" w:line="240" w:lineRule="auto"/>
              <w:ind w:firstLine="314"/>
              <w:jc w:val="both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color w:val="000000"/>
                <w:sz w:val="30"/>
                <w:szCs w:val="30"/>
              </w:rPr>
              <w:t>Планируется закупка мебели и оборудования, интерактивной техники, приобретение подвесной системы для экспонирования выставки, приобретение и установка направленного освещения,  системы   озвучивания   экспозиционных   залов,    программного  обеспечения    (разработка   приложения    для   самостоятельного    изучения  музейной экспозиции).</w:t>
            </w:r>
          </w:p>
          <w:p>
            <w:pPr>
              <w:spacing w:after="0" w:line="240" w:lineRule="auto"/>
              <w:ind w:firstLine="314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>14. Обоснование проекта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</w:p>
          <w:p>
            <w:pPr>
              <w:spacing w:after="0" w:line="240" w:lineRule="auto"/>
              <w:ind w:firstLine="314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сегодняшний день одной из актуальных задач в Республике Беларусь и в мире в целом,   на что в том числе направлены усилия коллектива музея, это создание </w:t>
            </w:r>
            <w:proofErr w:type="spellStart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безбарьерной</w:t>
            </w:r>
            <w:proofErr w:type="spellEnd"/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среды в музее.       </w:t>
            </w:r>
            <w:r>
              <w:rPr>
                <w:rFonts w:ascii="Times New Roman" w:hAnsi="Times New Roman"/>
                <w:sz w:val="30"/>
                <w:szCs w:val="30"/>
              </w:rPr>
              <w:lastRenderedPageBreak/>
              <w:t xml:space="preserve">Ограниченность общения и социальной активности создает дополнительные психологические, экономические и другие проблемы, трудности для самих инвалидов и их близких. </w:t>
            </w:r>
          </w:p>
          <w:p>
            <w:pPr>
              <w:spacing w:after="0" w:line="240" w:lineRule="auto"/>
              <w:ind w:firstLine="314"/>
              <w:jc w:val="both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Приобретение необходимого оборудования поможет создать все необходимые условия инвалидам для получения максимального доступа к увлечению культурным досугом, отвечающих их специфическим потребностям, а также будет способствовать социальной их адаптации, приобретению опыта равноправно конкурировать с полноценными в физическом отношении людьми.</w:t>
            </w:r>
          </w:p>
          <w:p>
            <w:pPr>
              <w:spacing w:after="0" w:line="240" w:lineRule="auto"/>
              <w:ind w:firstLine="314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lastRenderedPageBreak/>
              <w:t>15.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 xml:space="preserve">Деятельность после окончания проекта </w:t>
            </w:r>
          </w:p>
          <w:p>
            <w:pPr>
              <w:spacing w:after="0" w:line="240" w:lineRule="auto"/>
              <w:ind w:firstLine="314"/>
              <w:jc w:val="both"/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Cs/>
                <w:sz w:val="30"/>
                <w:szCs w:val="30"/>
                <w:lang w:eastAsia="ru-RU"/>
              </w:rPr>
              <w:t>Реализация проекта позволит улучшить качество обслуживания людей с ограниченными возможностями, предоставить возможность в постоянном беспрепятственном посещении культурных мероприятий, приобщаться к художественным видам деятельности, использовать творческую среду для удовлетворения их социальной значимости и потребностей. Данный проект приведет к условиям обеспечения качества жизни в комплексной системе адаптации инвалидов по зрению.</w:t>
            </w:r>
          </w:p>
          <w:p>
            <w:pPr>
              <w:spacing w:after="0" w:line="240" w:lineRule="auto"/>
              <w:ind w:firstLine="314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>
        <w:tc>
          <w:tcPr>
            <w:tcW w:w="9581" w:type="dxa"/>
          </w:tcPr>
          <w:p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eastAsia="ru-RU"/>
              </w:rPr>
              <w:t>16. Расходы, связанные с реализацией проекта (в долларах США): </w:t>
            </w: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40 000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</w:pPr>
          </w:p>
        </w:tc>
      </w:tr>
    </w:tbl>
    <w:p>
      <w:pPr>
        <w:spacing w:after="150" w:line="240" w:lineRule="auto"/>
        <w:rPr>
          <w:rFonts w:ascii="Times New Roman" w:hAnsi="Times New Roman"/>
          <w:sz w:val="30"/>
          <w:szCs w:val="30"/>
          <w:lang w:eastAsia="ru-RU"/>
        </w:rPr>
      </w:pPr>
    </w:p>
    <w:p>
      <w:pPr>
        <w:spacing w:after="15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>
            <wp:extent cx="2130425" cy="2105025"/>
            <wp:effectExtent l="0" t="0" r="0" b="0"/>
            <wp:docPr id="2" name="Рисунок 2" descr="__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_____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>
            <wp:extent cx="3757420" cy="2133650"/>
            <wp:effectExtent l="0" t="0" r="0" b="0"/>
            <wp:docPr id="3" name="Рисунок 3" descr="459ad8bf5ad8736fcd292bbd92ceeee3d7cd5d87ac9ad314e94dd592369f3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459ad8bf5ad8736fcd292bbd92ceeee3d7cd5d87ac9ad314e94dd592369f348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545" cy="218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0" w:line="240" w:lineRule="auto"/>
        <w:rPr>
          <w:rFonts w:ascii="Times New Roman" w:hAnsi="Times New Roman"/>
          <w:sz w:val="30"/>
          <w:szCs w:val="30"/>
          <w:lang w:eastAsia="ru-RU"/>
        </w:rPr>
      </w:pPr>
    </w:p>
    <w:p>
      <w:pPr>
        <w:spacing w:after="150" w:line="240" w:lineRule="auto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2636322" cy="2038315"/>
            <wp:effectExtent l="0" t="0" r="0" b="635"/>
            <wp:docPr id="4" name="Рисунок 4" descr="20471_mainfoto1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20471_mainfoto1_0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1" cy="205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>
            <wp:extent cx="3176649" cy="2047529"/>
            <wp:effectExtent l="0" t="0" r="5080" b="0"/>
            <wp:docPr id="5" name="Рисунок 5" descr="conten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ontent_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485" cy="205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>
            <wp:extent cx="2397235" cy="2718057"/>
            <wp:effectExtent l="0" t="0" r="3175" b="6350"/>
            <wp:docPr id="6" name="Рисунок 6" descr="informacionnye-terminaly-tactile-vert-42-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nformacionnye-terminaly-tactile-vert-42-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37" cy="273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>
            <wp:extent cx="2737262" cy="2737262"/>
            <wp:effectExtent l="0" t="0" r="6350" b="6350"/>
            <wp:docPr id="7" name="Рисунок 7" descr="IsdMG233506-fill-1200x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IsdMG233506-fill-1200x120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819" cy="274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5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</w:p>
    <w:p>
      <w:pPr>
        <w:spacing w:after="15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i/>
          <w:noProof/>
          <w:sz w:val="30"/>
          <w:szCs w:val="30"/>
          <w:lang w:eastAsia="ru-RU"/>
        </w:rPr>
        <w:drawing>
          <wp:inline distT="0" distB="0" distL="0" distR="0">
            <wp:extent cx="4849626" cy="3325090"/>
            <wp:effectExtent l="0" t="0" r="8255" b="8890"/>
            <wp:docPr id="8" name="Рисунок 8" descr="takrilnie-indikat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takrilnie-indikatori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50" cy="333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sz w:val="30"/>
          <w:szCs w:val="30"/>
        </w:rPr>
      </w:pPr>
      <w:bookmarkStart w:id="0" w:name="_GoBack"/>
      <w:bookmarkEnd w:id="0"/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10A8E"/>
    <w:multiLevelType w:val="hybridMultilevel"/>
    <w:tmpl w:val="DA74426C"/>
    <w:lvl w:ilvl="0" w:tplc="61042B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99"/>
    <w:qFormat/>
    <w:rPr>
      <w:rFonts w:cs="Times New Roman"/>
      <w:b/>
      <w:bCs/>
    </w:rPr>
  </w:style>
  <w:style w:type="character" w:styleId="a6">
    <w:name w:val="Emphasis"/>
    <w:basedOn w:val="a0"/>
    <w:uiPriority w:val="99"/>
    <w:qFormat/>
    <w:rPr>
      <w:rFonts w:ascii="Times New Roman" w:hAnsi="Times New Roman" w:cs="Times New Roman"/>
      <w:i/>
    </w:rPr>
  </w:style>
  <w:style w:type="paragraph" w:styleId="a7">
    <w:name w:val="List Paragraph"/>
    <w:basedOn w:val="a"/>
    <w:uiPriority w:val="99"/>
    <w:qFormat/>
    <w:pPr>
      <w:spacing w:after="200" w:line="276" w:lineRule="auto"/>
      <w:ind w:left="720"/>
      <w:contextualSpacing/>
    </w:p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cs="Times New Roman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</w:rPr>
  </w:style>
  <w:style w:type="paragraph" w:styleId="ac">
    <w:name w:val="Balloon Text"/>
    <w:basedOn w:val="a"/>
    <w:link w:val="ad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  <w:lang w:eastAsia="en-US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99"/>
    <w:qFormat/>
    <w:rPr>
      <w:rFonts w:cs="Times New Roman"/>
      <w:b/>
      <w:bCs/>
    </w:rPr>
  </w:style>
  <w:style w:type="character" w:styleId="a6">
    <w:name w:val="Emphasis"/>
    <w:basedOn w:val="a0"/>
    <w:uiPriority w:val="99"/>
    <w:qFormat/>
    <w:rPr>
      <w:rFonts w:ascii="Times New Roman" w:hAnsi="Times New Roman" w:cs="Times New Roman"/>
      <w:i/>
    </w:rPr>
  </w:style>
  <w:style w:type="paragraph" w:styleId="a7">
    <w:name w:val="List Paragraph"/>
    <w:basedOn w:val="a"/>
    <w:uiPriority w:val="99"/>
    <w:qFormat/>
    <w:pPr>
      <w:spacing w:after="200" w:line="276" w:lineRule="auto"/>
      <w:ind w:left="720"/>
      <w:contextualSpacing/>
    </w:p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cs="Times New Roman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</w:rPr>
  </w:style>
  <w:style w:type="paragraph" w:styleId="ac">
    <w:name w:val="Balloon Text"/>
    <w:basedOn w:val="a"/>
    <w:link w:val="ad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Pr>
      <w:rFonts w:ascii="Tahoma" w:hAnsi="Tahoma" w:cs="Tahoma"/>
      <w:sz w:val="16"/>
      <w:szCs w:val="16"/>
      <w:lang w:eastAsia="en-US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maslenikov.by" TargetMode="External"/><Relationship Id="rId14" Type="http://schemas.openxmlformats.org/officeDocument/2006/relationships/image" Target="media/image6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1629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37</cp:revision>
  <cp:lastPrinted>2022-05-30T14:39:00Z</cp:lastPrinted>
  <dcterms:created xsi:type="dcterms:W3CDTF">2022-03-02T08:40:00Z</dcterms:created>
  <dcterms:modified xsi:type="dcterms:W3CDTF">2022-07-15T14:30:00Z</dcterms:modified>
</cp:coreProperties>
</file>